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DA" w:rsidRPr="001D7CC4" w:rsidRDefault="00407334" w:rsidP="0040733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D7CC4">
        <w:rPr>
          <w:rFonts w:ascii="Bookman Old Style" w:hAnsi="Bookman Old Style" w:cs="Times New Roman"/>
          <w:b/>
          <w:sz w:val="28"/>
          <w:szCs w:val="28"/>
        </w:rPr>
        <w:t>О ПРОФЕССИОНАЛЬНО-ОБЩЕСТВЕННОЙ АККРЕДИТАЦИИ</w:t>
      </w:r>
    </w:p>
    <w:p w:rsidR="00407334" w:rsidRPr="001D7CC4" w:rsidRDefault="00407334" w:rsidP="00407334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1D7CC4">
        <w:rPr>
          <w:rFonts w:ascii="Bookman Old Style" w:hAnsi="Bookman Old Style" w:cs="Times New Roman"/>
          <w:b/>
          <w:sz w:val="28"/>
          <w:szCs w:val="28"/>
        </w:rPr>
        <w:t>(на основе материалов информационно-методического семинара для классических университетов 21 – 23 мая 2014г.</w:t>
      </w:r>
      <w:proofErr w:type="gramEnd"/>
      <w:r w:rsidRPr="001D7CC4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gramStart"/>
      <w:r w:rsidRPr="001D7CC4">
        <w:rPr>
          <w:rFonts w:ascii="Bookman Old Style" w:hAnsi="Bookman Old Style" w:cs="Times New Roman"/>
          <w:b/>
          <w:sz w:val="28"/>
          <w:szCs w:val="28"/>
        </w:rPr>
        <w:t xml:space="preserve">АКУР, МГУ имени </w:t>
      </w:r>
      <w:proofErr w:type="spellStart"/>
      <w:r w:rsidRPr="001D7CC4">
        <w:rPr>
          <w:rFonts w:ascii="Bookman Old Style" w:hAnsi="Bookman Old Style" w:cs="Times New Roman"/>
          <w:b/>
          <w:sz w:val="28"/>
          <w:szCs w:val="28"/>
        </w:rPr>
        <w:t>М.В.Ломоносова</w:t>
      </w:r>
      <w:proofErr w:type="spellEnd"/>
      <w:r w:rsidRPr="001D7CC4">
        <w:rPr>
          <w:rFonts w:ascii="Bookman Old Style" w:hAnsi="Bookman Old Style" w:cs="Times New Roman"/>
          <w:b/>
          <w:sz w:val="28"/>
          <w:szCs w:val="28"/>
        </w:rPr>
        <w:t>)</w:t>
      </w:r>
      <w:proofErr w:type="gramEnd"/>
    </w:p>
    <w:p w:rsidR="00407334" w:rsidRPr="00407334" w:rsidRDefault="00407334" w:rsidP="00407334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1.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Государственная аккредитация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определяется как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программная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аккредитация, основанная на ФГОС. Аккредитация является контрольной процедурой по проверке соответствия программы требованиям, установленным в ФГОС. Аккредитация осуществляется с привлечением экспертов, удовлетворяющих установленным требованиям для проведения </w:t>
      </w:r>
      <w:proofErr w:type="spellStart"/>
      <w:r w:rsidRPr="00407334">
        <w:rPr>
          <w:rFonts w:ascii="Bookman Old Style" w:eastAsia="Calibri" w:hAnsi="Bookman Old Style" w:cs="Times New Roman"/>
          <w:sz w:val="28"/>
          <w:szCs w:val="28"/>
        </w:rPr>
        <w:t>госаккредитации</w:t>
      </w:r>
      <w:proofErr w:type="spellEnd"/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. </w:t>
      </w:r>
    </w:p>
    <w:p w:rsidR="00407334" w:rsidRPr="00407334" w:rsidRDefault="00407334" w:rsidP="00407334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2.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Профессионально-общественная аккредитация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определена законодателем как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программная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 аккредитация, основанная на профессиональных стандартах (по сути, не включающих рассмотрение процессов проектирования, реализации и обеспечение учебного процесса) сформулированных объединениями работодателей. Профессионально-общественная аккредитация ориентирована на подтверждение уровня квалификации. Профессионально - общественная аккредитация не имеет четко определенного соотношения с государственной  аккредитацией.</w:t>
      </w:r>
    </w:p>
    <w:p w:rsidR="00407334" w:rsidRPr="00407334" w:rsidRDefault="00407334" w:rsidP="00407334">
      <w:pPr>
        <w:spacing w:after="0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3.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Общественная аккредитация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, установленная законом, может рассматриваться и как программная, и, как институциональная. Фактически, общественная аккредитация может основываться на стандартах и критериях профессиональных групп  (в том числе не являющихся работодателями), а также на стандартах и критериях сформированных заинтересованными в развитии системы обеспечения качества сторонами. Также как и профессионально - общественная аккредитация, общественная аккредитация не имеет определенного соотношения с государственной и профессионально общественной аккредитацией. Фактически, данный тип аккредитации можно разбить на два класса: «общественно-профессиональную» аккредитацию, основанную на стандартах и критериях сформулированных профессиональными объединениями, не являющихся работодателями, и собственно «общественную» аккредитацию, </w:t>
      </w:r>
      <w:r w:rsidRPr="00407334">
        <w:rPr>
          <w:rFonts w:ascii="Bookman Old Style" w:eastAsia="Calibri" w:hAnsi="Bookman Old Style" w:cs="Times New Roman"/>
          <w:sz w:val="28"/>
          <w:szCs w:val="28"/>
        </w:rPr>
        <w:lastRenderedPageBreak/>
        <w:t>основанную на независимых стандартах и требованиях, сформулированных заинтересованными сторонами.</w:t>
      </w:r>
    </w:p>
    <w:p w:rsidR="00407334" w:rsidRPr="00407334" w:rsidRDefault="00407334" w:rsidP="00407334">
      <w:pPr>
        <w:spacing w:after="0"/>
        <w:ind w:left="709"/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Модель АКУР аккредитации</w:t>
      </w:r>
    </w:p>
    <w:p w:rsidR="00407334" w:rsidRPr="00407334" w:rsidRDefault="00407334" w:rsidP="00407334">
      <w:pPr>
        <w:spacing w:after="0"/>
        <w:ind w:left="709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Организация работ </w:t>
      </w:r>
      <w:proofErr w:type="spellStart"/>
      <w:r w:rsidRPr="00407334">
        <w:rPr>
          <w:rFonts w:ascii="Bookman Old Style" w:eastAsia="Calibri" w:hAnsi="Bookman Old Style" w:cs="Times New Roman"/>
          <w:sz w:val="28"/>
          <w:szCs w:val="28"/>
        </w:rPr>
        <w:t>аккредитационного</w:t>
      </w:r>
      <w:proofErr w:type="spellEnd"/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АКУР агентства представлена на схеме рис.2</w:t>
      </w:r>
    </w:p>
    <w:p w:rsidR="00407334" w:rsidRPr="00407334" w:rsidRDefault="00407334" w:rsidP="00407334">
      <w:pPr>
        <w:spacing w:after="0"/>
        <w:jc w:val="both"/>
        <w:rPr>
          <w:rFonts w:ascii="Bookman Old Style" w:eastAsia="Calibri" w:hAnsi="Bookman Old Style" w:cs="Times New Roman"/>
          <w:noProof/>
          <w:sz w:val="28"/>
          <w:szCs w:val="28"/>
          <w:lang w:eastAsia="ru-RU"/>
        </w:rPr>
      </w:pPr>
      <w:r w:rsidRPr="001D7CC4">
        <w:rPr>
          <w:rFonts w:ascii="Bookman Old Style" w:eastAsia="Calibri" w:hAnsi="Bookman Old Style" w:cs="Times New Roman"/>
          <w:noProof/>
          <w:sz w:val="28"/>
          <w:szCs w:val="28"/>
          <w:lang w:eastAsia="ru-RU"/>
        </w:rPr>
        <w:drawing>
          <wp:inline distT="0" distB="0" distL="0" distR="0" wp14:anchorId="0EB8A8D1" wp14:editId="5D3115A4">
            <wp:extent cx="5932805" cy="3668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34" w:rsidRPr="00407334" w:rsidRDefault="00407334" w:rsidP="00407334">
      <w:pPr>
        <w:spacing w:after="0"/>
        <w:jc w:val="center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noProof/>
          <w:sz w:val="28"/>
          <w:szCs w:val="28"/>
          <w:lang w:eastAsia="ru-RU"/>
        </w:rPr>
        <w:t>Рис 2.</w:t>
      </w:r>
    </w:p>
    <w:p w:rsidR="00407334" w:rsidRPr="00407334" w:rsidRDefault="00407334" w:rsidP="00407334">
      <w:pPr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bookmarkStart w:id="0" w:name="_GoBack"/>
      <w:bookmarkEnd w:id="0"/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Стандарты и Критерии АКУР для аккредитации образовательной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Миссия учреждения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Цели образовательной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Планирование, формирование и оценка образовательной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Содержание образовательной 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Методическое обеспечение образовательной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Управление учебным процессом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Кадры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Студенты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Ресурсы программы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Социокультурная среда, обеспечивающая становление и развитие личности 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Реализация научной работы в учебном процессе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Система обеспечения культуры качества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lastRenderedPageBreak/>
        <w:t>Выпускники и трудоустройство</w:t>
      </w:r>
    </w:p>
    <w:p w:rsidR="00407334" w:rsidRPr="00407334" w:rsidRDefault="00407334" w:rsidP="00407334">
      <w:pPr>
        <w:numPr>
          <w:ilvl w:val="0"/>
          <w:numId w:val="1"/>
        </w:numPr>
        <w:spacing w:after="0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Информационное продвижение образовательной программы</w:t>
      </w:r>
    </w:p>
    <w:p w:rsidR="00407334" w:rsidRPr="001D7CC4" w:rsidRDefault="00407334" w:rsidP="00407334">
      <w:pPr>
        <w:rPr>
          <w:rFonts w:ascii="Bookman Old Style" w:hAnsi="Bookman Old Style" w:cs="Times New Roman"/>
          <w:sz w:val="28"/>
          <w:szCs w:val="28"/>
        </w:rPr>
      </w:pPr>
    </w:p>
    <w:p w:rsidR="00407334" w:rsidRPr="00407334" w:rsidRDefault="00407334" w:rsidP="001D7CC4">
      <w:pPr>
        <w:keepNext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1. Миссия учреждения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Миссия учреждения и цели его деятельности соответствуют задачам высшего  образования, совместимы с его уставом.  Миссия учреждения является основой формирования его стратегической политики, планирования ресурсов при организации деятельности и основанием для оценки его лидерства, повышения эффективности и культуры качества учреждения. 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2. Цели образовательной программы</w:t>
      </w:r>
    </w:p>
    <w:p w:rsidR="00407334" w:rsidRPr="00407334" w:rsidRDefault="00407334" w:rsidP="00407334">
      <w:pPr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Образовательная программа учреждения совместима с его миссией  и служит ее выполнению и достижению заявленной цели деятельности учреждения. 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3.  Планирование, формирование и оценка образовательной программы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Планирование образовательной  программы осуществлено в результате процесса стратегического планирования, в соответствии с миссией университета на основе запроса общества, анализа рынка труда и условий реализации программы в конкретном структурном подразделении, с учетом конкурентоспособных преимуществ учреждения.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4. Содержание образовательной программы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Содержание образовательной программы вытекает из объявленных целей программы, определено профессиональным сообществом с учетом мнения работодателей, рынка труда и иных сторон, заинтересованных в процессе обучения студентов.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5. Методическое обеспечени</w:t>
      </w: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е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образовательной программы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Учебно-методическое обеспечение разработано в порядке, установленном учреждением на основе профессионального </w:t>
      </w:r>
      <w:r w:rsidRPr="00407334">
        <w:rPr>
          <w:rFonts w:ascii="Bookman Old Style" w:eastAsia="Calibri" w:hAnsi="Bookman Old Style" w:cs="Times New Roman"/>
          <w:sz w:val="28"/>
          <w:szCs w:val="28"/>
        </w:rPr>
        <w:lastRenderedPageBreak/>
        <w:t>анализа и использования образцов лучшей практики ведущих российских и зарубежных учреждений высшего образования, реализующих образовательные программы по аналогичным или схожим направлениям образования.</w:t>
      </w:r>
    </w:p>
    <w:p w:rsidR="00407334" w:rsidRPr="001D7CC4" w:rsidRDefault="00407334" w:rsidP="00407334">
      <w:pPr>
        <w:rPr>
          <w:rFonts w:ascii="Bookman Old Style" w:hAnsi="Bookman Old Style" w:cs="Times New Roman"/>
          <w:b/>
          <w:sz w:val="28"/>
          <w:szCs w:val="28"/>
        </w:rPr>
      </w:pPr>
      <w:r w:rsidRPr="001D7CC4">
        <w:rPr>
          <w:rFonts w:ascii="Bookman Old Style" w:hAnsi="Bookman Old Style" w:cs="Times New Roman"/>
          <w:b/>
          <w:sz w:val="28"/>
          <w:szCs w:val="28"/>
        </w:rPr>
        <w:t>Стандарт 6. Управление учебным процессом</w:t>
      </w:r>
    </w:p>
    <w:p w:rsidR="00407334" w:rsidRPr="001D7CC4" w:rsidRDefault="00407334" w:rsidP="00407334">
      <w:pPr>
        <w:jc w:val="both"/>
        <w:rPr>
          <w:rFonts w:ascii="Bookman Old Style" w:hAnsi="Bookman Old Style" w:cs="Times New Roman"/>
          <w:sz w:val="28"/>
          <w:szCs w:val="28"/>
        </w:rPr>
      </w:pPr>
      <w:r w:rsidRPr="001D7CC4">
        <w:rPr>
          <w:rFonts w:ascii="Bookman Old Style" w:hAnsi="Bookman Old Style" w:cs="Times New Roman"/>
          <w:sz w:val="28"/>
          <w:szCs w:val="28"/>
        </w:rPr>
        <w:t>Процедуры академического администрирования и участие персонала учреждения демонстрируют эффективную систему управления академической деятельностью, гарантируя качество образовательной программы.</w:t>
      </w:r>
    </w:p>
    <w:p w:rsidR="00407334" w:rsidRPr="00407334" w:rsidRDefault="00407334" w:rsidP="001D7CC4">
      <w:pPr>
        <w:keepNext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 xml:space="preserve">Стандарт 7. Кадры 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Преподаватели - профессионально подготовлены, активны при проведении научных исследований и имеют необходимую эрудицию, широту и глубину знаний, чтобы поддержать современный уровень образовательного процесса. Имеется достаточное число преподавателей, чтобы обеспечить непрерывность и стабильность, выполнения учебного плана, а также выполнить интеграцию процесса обучения и исследовательской деятельности. </w:t>
      </w:r>
      <w:r w:rsidRPr="00407334">
        <w:rPr>
          <w:rFonts w:ascii="Bookman Old Style" w:eastAsia="Calibri" w:hAnsi="Bookman Old Style" w:cs="Times New Roman"/>
          <w:bCs/>
          <w:sz w:val="28"/>
          <w:szCs w:val="28"/>
        </w:rPr>
        <w:t>Квалификации преподавателей достаточны, чтобы достичь цели программы. Административный, научный, вспомогательный и обслуживающий персонал квалифицирован и способствует достижению целей образовательной программы.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8. Студенты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>В соответствии со своей миссией учреждение определило студентов, которым оно стремится обеспечить среду, способствующую их профессиональному, интеллектуальному и личностному развитию в рамках образовательной программы. Взаимодействие учреждения со студентами и абитуриентами характеризуются честностью и ответственностью.</w:t>
      </w:r>
    </w:p>
    <w:p w:rsidR="00407334" w:rsidRPr="00407334" w:rsidRDefault="00407334" w:rsidP="001D7CC4">
      <w:pPr>
        <w:autoSpaceDE w:val="0"/>
        <w:autoSpaceDN w:val="0"/>
        <w:adjustRightInd w:val="0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9. Ресурсы программы</w:t>
      </w:r>
    </w:p>
    <w:p w:rsidR="00407334" w:rsidRPr="00407334" w:rsidRDefault="00407334" w:rsidP="00407334">
      <w:pPr>
        <w:autoSpaceDE w:val="0"/>
        <w:autoSpaceDN w:val="0"/>
        <w:adjustRightInd w:val="0"/>
        <w:jc w:val="both"/>
        <w:rPr>
          <w:rFonts w:ascii="Bookman Old Style" w:eastAsia="Calibri" w:hAnsi="Bookman Old Style" w:cs="Times New Roman"/>
          <w:color w:val="000000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Достижение целей </w:t>
      </w:r>
      <w:r w:rsidRPr="00407334">
        <w:rPr>
          <w:rFonts w:ascii="Bookman Old Style" w:eastAsia="Calibri" w:hAnsi="Bookman Old Style" w:cs="Times New Roman"/>
          <w:color w:val="000000"/>
          <w:sz w:val="28"/>
          <w:szCs w:val="28"/>
        </w:rPr>
        <w:t>образовательной</w:t>
      </w:r>
      <w:r w:rsidRPr="00407334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t xml:space="preserve"> программы обеспечено путем использования финансовых, технологических, информационных  и иных необходимых ресурсов в достаточном объеме. Финансовые ресурсы учреждения достаточны, чтобы </w:t>
      </w:r>
      <w:r w:rsidRPr="00407334">
        <w:rPr>
          <w:rFonts w:ascii="Bookman Old Style" w:eastAsia="Calibri" w:hAnsi="Bookman Old Style" w:cs="Times New Roman"/>
          <w:bCs/>
          <w:color w:val="000000"/>
          <w:sz w:val="28"/>
          <w:szCs w:val="28"/>
        </w:rPr>
        <w:lastRenderedPageBreak/>
        <w:t xml:space="preserve">обеспечить качество образовательной программы и поддержать достигнутый уровень усовершенствования в настоящее время и в обозримом будущем. </w:t>
      </w:r>
    </w:p>
    <w:p w:rsidR="00407334" w:rsidRPr="00407334" w:rsidRDefault="00407334" w:rsidP="001D7CC4">
      <w:pPr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 xml:space="preserve">Стандарт 10. Социокультурная среда, обеспечивающая становление и развитие личности 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Академическая среда, в которой осуществляется реализация образовательной программы, позволяет осуществить гармоническое развитие личности, не ограниченное развитием профессиональных возможностей и компетенций обучающегося студента.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11.</w:t>
      </w:r>
      <w:r w:rsidR="001D7CC4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Реализация научной работы в учебном процессе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Научно-исследовательская (аналитическая, изыскательская, проектная, инновационная) работа студентов интегрирована в учебный процесс по программе. Является основой достижения актуальности программы, существенным элементом, определяющим качества образования, служит основанием для обеспечения мобильности обучающихся студентов.  </w:t>
      </w:r>
      <w:proofErr w:type="gramStart"/>
      <w:r w:rsidRPr="00407334">
        <w:rPr>
          <w:rFonts w:ascii="Bookman Old Style" w:eastAsia="Calibri" w:hAnsi="Bookman Old Style" w:cs="Times New Roman"/>
          <w:sz w:val="28"/>
          <w:szCs w:val="28"/>
        </w:rPr>
        <w:t>Поддержана</w:t>
      </w:r>
      <w:proofErr w:type="gramEnd"/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 научными исследованиями преподавателей в сфере профессиональной подготовки, а также необходимой инфраструктурой для проведения исследовательских (аналитических, проектных, изыскательских, инновационных) работ.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12. Система обеспечения культуры  качества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 xml:space="preserve">Учреждение имеет ясно сформулированную политику и процедуры гарантии качества, а также стандарты для реализуемых  программ и присваиваемых квалификаций. Учреждение ясно заявило о своих  обязательствах по развитию академической культуры, признающей первостепенную важность качества и по развитию гарантий качества своей деятельности. Учреждение имеет внедренную стратегию  по непрерывному повышению  качества образовательной программы и иных форм деятельности, связанных с реализацией программы. 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lastRenderedPageBreak/>
        <w:t>Стандарт 13. Выпускники и трудоустройство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Выпускники образовательной программы составляют гордость учреждения и обеспечивают рост признания программы в академической, научной или профессиональной среде. Трудоустройство выпускников является предметом заботы учреждения.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b/>
          <w:sz w:val="28"/>
          <w:szCs w:val="28"/>
        </w:rPr>
      </w:pPr>
      <w:r w:rsidRPr="00407334">
        <w:rPr>
          <w:rFonts w:ascii="Bookman Old Style" w:eastAsia="Calibri" w:hAnsi="Bookman Old Style" w:cs="Times New Roman"/>
          <w:b/>
          <w:sz w:val="28"/>
          <w:szCs w:val="28"/>
        </w:rPr>
        <w:t>Стандарт 14. Информационное продвижение программы</w:t>
      </w:r>
    </w:p>
    <w:p w:rsidR="00407334" w:rsidRPr="00407334" w:rsidRDefault="00407334" w:rsidP="00407334">
      <w:pPr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407334">
        <w:rPr>
          <w:rFonts w:ascii="Bookman Old Style" w:eastAsia="Calibri" w:hAnsi="Bookman Old Style" w:cs="Times New Roman"/>
          <w:sz w:val="28"/>
          <w:szCs w:val="28"/>
        </w:rPr>
        <w:t>Учреждение регулярно публикует актуальную, беспристрастную и объективную, количественную и  качественную информацию по реализуемой программе и присваиваемым квалификациям. Студентам, абитуриентам и общественности учреждение обеспечивает информацию, которая является полной, точной, своевременной, доступной, ясной и достаточной, чтобы сделать обоснованные решения об образовательной программе и ее целях, а также об учреждении в целом.</w:t>
      </w:r>
    </w:p>
    <w:p w:rsidR="00407334" w:rsidRPr="001D7CC4" w:rsidRDefault="00407334" w:rsidP="00407334">
      <w:pPr>
        <w:rPr>
          <w:rFonts w:ascii="Bookman Old Style" w:hAnsi="Bookman Old Style" w:cs="Times New Roman"/>
          <w:sz w:val="28"/>
          <w:szCs w:val="28"/>
        </w:rPr>
      </w:pPr>
    </w:p>
    <w:sectPr w:rsidR="00407334" w:rsidRPr="001D7C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40" w:rsidRDefault="00495340" w:rsidP="00ED48FE">
      <w:pPr>
        <w:spacing w:after="0" w:line="240" w:lineRule="auto"/>
      </w:pPr>
      <w:r>
        <w:separator/>
      </w:r>
    </w:p>
  </w:endnote>
  <w:endnote w:type="continuationSeparator" w:id="0">
    <w:p w:rsidR="00495340" w:rsidRDefault="00495340" w:rsidP="00E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04971"/>
      <w:docPartObj>
        <w:docPartGallery w:val="Page Numbers (Bottom of Page)"/>
        <w:docPartUnique/>
      </w:docPartObj>
    </w:sdtPr>
    <w:sdtContent>
      <w:p w:rsidR="00ED48FE" w:rsidRDefault="00ED48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CC4">
          <w:rPr>
            <w:noProof/>
          </w:rPr>
          <w:t>3</w:t>
        </w:r>
        <w:r>
          <w:fldChar w:fldCharType="end"/>
        </w:r>
      </w:p>
    </w:sdtContent>
  </w:sdt>
  <w:p w:rsidR="00ED48FE" w:rsidRDefault="00ED4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40" w:rsidRDefault="00495340" w:rsidP="00ED48FE">
      <w:pPr>
        <w:spacing w:after="0" w:line="240" w:lineRule="auto"/>
      </w:pPr>
      <w:r>
        <w:separator/>
      </w:r>
    </w:p>
  </w:footnote>
  <w:footnote w:type="continuationSeparator" w:id="0">
    <w:p w:rsidR="00495340" w:rsidRDefault="00495340" w:rsidP="00E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84E"/>
    <w:multiLevelType w:val="hybridMultilevel"/>
    <w:tmpl w:val="BBB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4"/>
    <w:rsid w:val="001D7CC4"/>
    <w:rsid w:val="00407334"/>
    <w:rsid w:val="00495340"/>
    <w:rsid w:val="00632D76"/>
    <w:rsid w:val="008124B5"/>
    <w:rsid w:val="00D33122"/>
    <w:rsid w:val="00E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FE"/>
  </w:style>
  <w:style w:type="paragraph" w:styleId="a7">
    <w:name w:val="footer"/>
    <w:basedOn w:val="a"/>
    <w:link w:val="a8"/>
    <w:uiPriority w:val="99"/>
    <w:unhideWhenUsed/>
    <w:rsid w:val="00ED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8FE"/>
  </w:style>
  <w:style w:type="paragraph" w:styleId="a7">
    <w:name w:val="footer"/>
    <w:basedOn w:val="a"/>
    <w:link w:val="a8"/>
    <w:uiPriority w:val="99"/>
    <w:unhideWhenUsed/>
    <w:rsid w:val="00ED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2014-06-02T10:18:00Z</dcterms:created>
  <dcterms:modified xsi:type="dcterms:W3CDTF">2014-06-02T10:32:00Z</dcterms:modified>
</cp:coreProperties>
</file>